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pos="4513"/>
          <w:tab w:val="right" w:pos="9026"/>
        </w:tabs>
        <w:spacing w:after="0" w:lineRule="auto"/>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tabs>
          <w:tab w:val="left"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4">
      <w:pPr>
        <w:numPr>
          <w:ilvl w:val="2"/>
          <w:numId w:val="2"/>
        </w:numP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r w:rsidDel="00000000" w:rsidR="00000000" w:rsidRPr="00000000">
        <w:rPr>
          <w:rtl w:val="0"/>
        </w:rPr>
      </w:r>
    </w:p>
    <w:p w:rsidR="00000000" w:rsidDel="00000000" w:rsidP="00000000" w:rsidRDefault="00000000" w:rsidRPr="00000000" w14:paraId="00000005">
      <w:pPr>
        <w:numPr>
          <w:ilvl w:val="2"/>
          <w:numId w:val="2"/>
        </w:numP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6">
      <w:pPr>
        <w:keepNext w:val="1"/>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r w:rsidDel="00000000" w:rsidR="00000000" w:rsidRPr="00000000">
        <w:rPr>
          <w:rtl w:val="0"/>
        </w:rPr>
      </w:r>
    </w:p>
    <w:p w:rsidR="00000000" w:rsidDel="00000000" w:rsidP="00000000" w:rsidRDefault="00000000" w:rsidRPr="00000000" w14:paraId="00000007">
      <w:pPr>
        <w:numPr>
          <w:ilvl w:val="2"/>
          <w:numId w:val="2"/>
        </w:numP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r w:rsidDel="00000000" w:rsidR="00000000" w:rsidRPr="00000000">
        <w:rPr>
          <w:rtl w:val="0"/>
        </w:rPr>
      </w:r>
    </w:p>
    <w:p w:rsidR="00000000" w:rsidDel="00000000" w:rsidP="00000000" w:rsidRDefault="00000000" w:rsidRPr="00000000" w14:paraId="00000008">
      <w:pPr>
        <w:numPr>
          <w:ilvl w:val="2"/>
          <w:numId w:val="2"/>
        </w:numP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r w:rsidDel="00000000" w:rsidR="00000000" w:rsidRPr="00000000">
        <w:rPr>
          <w:rtl w:val="0"/>
        </w:rPr>
      </w:r>
    </w:p>
    <w:p w:rsidR="00000000" w:rsidDel="00000000" w:rsidP="00000000" w:rsidRDefault="00000000" w:rsidRPr="00000000" w14:paraId="00000009">
      <w:pPr>
        <w:numPr>
          <w:ilvl w:val="2"/>
          <w:numId w:val="2"/>
        </w:numP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r w:rsidDel="00000000" w:rsidR="00000000" w:rsidRPr="00000000">
        <w:rPr>
          <w:rtl w:val="0"/>
        </w:rPr>
      </w:r>
    </w:p>
    <w:p w:rsidR="00000000" w:rsidDel="00000000" w:rsidP="00000000" w:rsidRDefault="00000000" w:rsidRPr="00000000" w14:paraId="0000000A">
      <w:pPr>
        <w:numPr>
          <w:ilvl w:val="2"/>
          <w:numId w:val="2"/>
        </w:numP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for at least six (6) years after the End Date.</w:t>
      </w:r>
      <w:r w:rsidDel="00000000" w:rsidR="00000000" w:rsidRPr="00000000">
        <w:rPr>
          <w:rtl w:val="0"/>
        </w:rPr>
      </w:r>
    </w:p>
    <w:p w:rsidR="00000000" w:rsidDel="00000000" w:rsidP="00000000" w:rsidRDefault="00000000" w:rsidRPr="00000000" w14:paraId="0000000B">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C">
      <w:pPr>
        <w:keepNext w:val="1"/>
        <w:numPr>
          <w:ilvl w:val="0"/>
          <w:numId w:val="2"/>
        </w:numPr>
        <w:tabs>
          <w:tab w:val="left"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0E">
      <w:pPr>
        <w:numPr>
          <w:ilvl w:val="2"/>
          <w:numId w:val="2"/>
        </w:numPr>
        <w:tabs>
          <w:tab w:val="left"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r w:rsidDel="00000000" w:rsidR="00000000" w:rsidRPr="00000000">
        <w:rPr>
          <w:rtl w:val="0"/>
        </w:rPr>
      </w:r>
    </w:p>
    <w:p w:rsidR="00000000" w:rsidDel="00000000" w:rsidP="00000000" w:rsidRDefault="00000000" w:rsidRPr="00000000" w14:paraId="0000000F">
      <w:pPr>
        <w:numPr>
          <w:ilvl w:val="2"/>
          <w:numId w:val="2"/>
        </w:numPr>
        <w:tabs>
          <w:tab w:val="left"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r w:rsidDel="00000000" w:rsidR="00000000" w:rsidRPr="00000000">
        <w:rPr>
          <w:rtl w:val="0"/>
        </w:rPr>
      </w:r>
    </w:p>
    <w:p w:rsidR="00000000" w:rsidDel="00000000" w:rsidP="00000000" w:rsidRDefault="00000000" w:rsidRPr="00000000" w14:paraId="00000010">
      <w:pPr>
        <w:numPr>
          <w:ilvl w:val="2"/>
          <w:numId w:val="2"/>
        </w:numPr>
        <w:tabs>
          <w:tab w:val="left"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r w:rsidDel="00000000" w:rsidR="00000000" w:rsidRPr="00000000">
        <w:rPr>
          <w:rtl w:val="0"/>
        </w:rPr>
      </w:r>
    </w:p>
    <w:p w:rsidR="00000000" w:rsidDel="00000000" w:rsidP="00000000" w:rsidRDefault="00000000" w:rsidRPr="00000000" w14:paraId="00000011">
      <w:pPr>
        <w:keepNext w:val="1"/>
        <w:numPr>
          <w:ilvl w:val="0"/>
          <w:numId w:val="2"/>
        </w:numPr>
        <w:tabs>
          <w:tab w:val="left"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3">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4">
      <w:pPr>
        <w:keepNext w:val="1"/>
        <w:numPr>
          <w:ilvl w:val="0"/>
          <w:numId w:val="2"/>
        </w:numPr>
        <w:tabs>
          <w:tab w:val="left"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tabs>
          <w:tab w:val="left"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tabs>
          <w:tab w:val="left" w:pos="1134"/>
        </w:tabs>
        <w:spacing w:after="120" w:before="120" w:lineRule="auto"/>
        <w:ind w:left="900" w:hanging="540"/>
        <w:jc w:val="left"/>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tabs>
          <w:tab w:val="left"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tabs>
          <w:tab w:val="left" w:pos="142"/>
        </w:tabs>
        <w:spacing w:before="120" w:lineRule="auto"/>
        <w:ind w:left="540" w:hanging="360"/>
        <w:jc w:val="left"/>
        <w:rPr/>
      </w:pPr>
      <w:r w:rsidDel="00000000" w:rsidR="00000000" w:rsidRPr="00000000">
        <w:rPr>
          <w:rFonts w:ascii="Arial Bold" w:cs="Arial Bold" w:eastAsia="Arial Bold" w:hAnsi="Arial Bold"/>
          <w:b w:val="1"/>
          <w:color w:val="000000"/>
          <w:sz w:val="24"/>
          <w:szCs w:val="24"/>
          <w:rtl w:val="0"/>
        </w:rPr>
        <w:t xml:space="preserve">Insurance claims</w:t>
      </w:r>
      <w:r w:rsidDel="00000000" w:rsidR="00000000" w:rsidRPr="00000000">
        <w:rPr>
          <w:rtl w:val="0"/>
        </w:rPr>
      </w:r>
    </w:p>
    <w:p w:rsidR="00000000" w:rsidDel="00000000" w:rsidP="00000000" w:rsidRDefault="00000000" w:rsidRPr="00000000" w14:paraId="0000001C">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1D">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1E">
      <w:pPr>
        <w:numPr>
          <w:ilvl w:val="1"/>
          <w:numId w:val="2"/>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1F">
      <w:pPr>
        <w:numPr>
          <w:ilvl w:val="1"/>
          <w:numId w:val="2"/>
        </w:numPr>
        <w:tabs>
          <w:tab w:val="left"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tabs>
          <w:tab w:val="left" w:pos="142"/>
        </w:tabs>
        <w:spacing w:before="120" w:lineRule="auto"/>
        <w:ind w:left="360" w:hanging="360"/>
        <w:jc w:val="left"/>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hold the following insurance cover from the Framework Start Date in accordance with this Schedule:</w:t>
      </w:r>
      <w:bookmarkStart w:colFirst="0" w:colLast="0" w:name="bookmark=id.3znysh7" w:id="2"/>
      <w:bookmarkEnd w:id="2"/>
      <w:r w:rsidDel="00000000" w:rsidR="00000000" w:rsidRPr="00000000">
        <w:rPr>
          <w:rtl w:val="0"/>
        </w:rPr>
      </w:r>
    </w:p>
    <w:p w:rsidR="00000000" w:rsidDel="00000000" w:rsidP="00000000" w:rsidRDefault="00000000" w:rsidRPr="00000000" w14:paraId="00000022">
      <w:pPr>
        <w:numPr>
          <w:ilvl w:val="1"/>
          <w:numId w:val="1"/>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professional indemnity insurance with cover (for a single event or a series of related events and in the aggregate) of not less than two million pounds £2,000,000 </w:t>
      </w:r>
      <w:r w:rsidDel="00000000" w:rsidR="00000000" w:rsidRPr="00000000">
        <w:rPr>
          <w:rtl w:val="0"/>
        </w:rPr>
      </w:r>
    </w:p>
    <w:p w:rsidR="00000000" w:rsidDel="00000000" w:rsidP="00000000" w:rsidRDefault="00000000" w:rsidRPr="00000000" w14:paraId="00000023">
      <w:pPr>
        <w:numPr>
          <w:ilvl w:val="1"/>
          <w:numId w:val="1"/>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public liability insurance with cover (for a single event or a series of related events and in the aggregate) of not less than two million pounds £2,000,000 </w:t>
      </w:r>
      <w:r w:rsidDel="00000000" w:rsidR="00000000" w:rsidRPr="00000000">
        <w:rPr>
          <w:rtl w:val="0"/>
        </w:rPr>
      </w:r>
    </w:p>
    <w:p w:rsidR="00000000" w:rsidDel="00000000" w:rsidP="00000000" w:rsidRDefault="00000000" w:rsidRPr="00000000" w14:paraId="00000024">
      <w:pPr>
        <w:numPr>
          <w:ilvl w:val="1"/>
          <w:numId w:val="1"/>
        </w:numPr>
        <w:tabs>
          <w:tab w:val="left"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employers’ liability insurance with cover (for a single event or a series of related events and in the aggregate) of not less than five million pounds £5,000,00</w:t>
      </w:r>
      <w:r w:rsidDel="00000000" w:rsidR="00000000" w:rsidRPr="00000000">
        <w:rPr>
          <w:rFonts w:ascii="Arial" w:cs="Arial" w:eastAsia="Arial" w:hAnsi="Arial"/>
          <w:sz w:val="24"/>
          <w:szCs w:val="24"/>
          <w:rtl w:val="0"/>
        </w:rPr>
        <w:t xml:space="preserve">0</w:t>
      </w:r>
      <w:r w:rsidDel="00000000" w:rsidR="00000000" w:rsidRPr="00000000">
        <w:rPr>
          <w:rtl w:val="0"/>
        </w:rPr>
      </w:r>
    </w:p>
    <w:sectPr>
      <w:headerReference r:id="rId7" w:type="default"/>
      <w:footerReference r:id="rId8"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Estates Management Services</w:t>
    </w:r>
  </w:p>
  <w:p w:rsidR="00000000" w:rsidDel="00000000" w:rsidP="00000000" w:rsidRDefault="00000000" w:rsidRPr="00000000" w14:paraId="0000002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Contract Reference</w:t>
    </w:r>
    <w:r w:rsidDel="00000000" w:rsidR="00000000" w:rsidRPr="00000000">
      <w:rPr>
        <w:rFonts w:ascii="Arial" w:cs="Arial" w:eastAsia="Arial" w:hAnsi="Arial"/>
        <w:sz w:val="20"/>
        <w:szCs w:val="20"/>
        <w:rtl w:val="0"/>
      </w:rPr>
      <w:t xml:space="preserve">: CCBO21A04  </w:t>
      <w:tab/>
      <w:t xml:space="preserve">                                           </w:t>
    </w:r>
  </w:p>
  <w:p w:rsidR="00000000" w:rsidDel="00000000" w:rsidP="00000000" w:rsidRDefault="00000000" w:rsidRPr="00000000" w14:paraId="00000029">
    <w:pPr>
      <w:tabs>
        <w:tab w:val="center" w:pos="4513"/>
        <w:tab w:val="right" w:pos="9026"/>
      </w:tabs>
      <w:spacing w:after="0" w:lineRule="auto"/>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A">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6">
    <w:pP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b w:val="0"/>
        <w:i w:val="0"/>
        <w:smallCaps w:val="0"/>
        <w:strike w:val="0"/>
        <w:color w:val="000000"/>
        <w:sz w:val="22"/>
        <w:szCs w:val="22"/>
        <w:u w:val="none"/>
        <w:vertAlign w:val="baseline"/>
      </w:rPr>
    </w:lvl>
    <w:lvl w:ilvl="3">
      <w:start w:val="1"/>
      <w:numFmt w:val="lowerLetter"/>
      <w:lvlText w:val="(%4)"/>
      <w:lvlJc w:val="left"/>
      <w:pPr>
        <w:ind w:left="3027" w:hanging="720"/>
      </w:pPr>
      <w:rPr>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sz w:val="22"/>
        <w:szCs w:val="22"/>
        <w:u w:val="none"/>
        <w:vertAlign w:val="baseline"/>
      </w:rPr>
    </w:lvl>
    <w:lvl w:ilvl="5">
      <w:start w:val="1"/>
      <w:numFmt w:val="upperLetter"/>
      <w:lvlText w:val="(%6)"/>
      <w:lvlJc w:val="left"/>
      <w:pPr>
        <w:ind w:left="1620" w:hanging="1080"/>
      </w:pPr>
      <w:rPr>
        <w:b w:val="0"/>
        <w:i w:val="0"/>
        <w:smallCaps w:val="0"/>
        <w:strike w:val="0"/>
        <w:color w:val="000000"/>
        <w:sz w:val="22"/>
        <w:szCs w:val="22"/>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Bold" w:cs="Arial Bold" w:eastAsia="Arial Bold" w:hAnsi="Arial Bold"/>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3027" w:hanging="720"/>
      </w:pPr>
      <w:rPr>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sz w:val="22"/>
        <w:szCs w:val="22"/>
        <w:u w:val="none"/>
        <w:vertAlign w:val="baseline"/>
      </w:rPr>
    </w:lvl>
    <w:lvl w:ilvl="5">
      <w:start w:val="1"/>
      <w:numFmt w:val="upperLetter"/>
      <w:lvlText w:val="(%6)"/>
      <w:lvlJc w:val="left"/>
      <w:pPr>
        <w:ind w:left="1620" w:hanging="1080"/>
      </w:pPr>
      <w:rPr>
        <w:b w:val="0"/>
        <w:i w:val="0"/>
        <w:smallCaps w:val="0"/>
        <w:strike w:val="0"/>
        <w:color w:val="000000"/>
        <w:sz w:val="22"/>
        <w:szCs w:val="22"/>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Rule="auto"/>
    </w:pPr>
    <w:rPr>
      <w:b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Rule="auto"/>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120" w:before="480"/>
      <w:outlineLvl w:val="0"/>
    </w:pPr>
    <w:rPr>
      <w:b w:val="1"/>
      <w:color w:val="000000"/>
      <w:sz w:val="48"/>
      <w:szCs w:val="48"/>
    </w:rPr>
  </w:style>
  <w:style w:type="paragraph" w:styleId="Heading2">
    <w:name w:val="heading 2"/>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360"/>
      <w:outlineLvl w:val="1"/>
    </w:pPr>
    <w:rPr>
      <w:b w:val="1"/>
      <w:color w:val="000000"/>
      <w:sz w:val="36"/>
      <w:szCs w:val="36"/>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280"/>
      <w:outlineLvl w:val="2"/>
    </w:pPr>
    <w:rPr>
      <w:b w:val="1"/>
      <w:color w:val="000000"/>
      <w:sz w:val="28"/>
      <w:szCs w:val="28"/>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40"/>
      <w:outlineLvl w:val="3"/>
    </w:pPr>
    <w:rPr>
      <w:b w:val="1"/>
      <w:color w:val="000000"/>
      <w:sz w:val="24"/>
      <w:szCs w:val="24"/>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20"/>
      <w:outlineLvl w:val="4"/>
    </w:pPr>
    <w:rPr>
      <w:b w:val="1"/>
      <w:color w:val="000000"/>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00"/>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pPr>
    <w:rPr>
      <w:b w:val="1"/>
      <w:color w:val="000000"/>
      <w:sz w:val="72"/>
      <w:szCs w:val="7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9ZvScOjl5FYKWryQDON6yHIDzA==">AMUW2mVSh6BhzDzYmereHQ6Vufn5f66RklmW0CNKAqOWgRC7+V07uC9FtVllIehtJTraZK98pSrWy6JnLFjw41AGHVBaoG9rkZbNKtYAcGyO53wH58K0fedLeE1JdzmylUEtwvT2VLv/PKjoYWYgTZlauz5AYze+gERkTEGQ1hyENq7IOdc7t94=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2022-07-18T13:10:00Z</dcterms:created>
  <dc:creator>Kelly Hughes</dc:creator>
</cp:coreProperties>
</file>